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64667342" w:rsidR="00D27F08" w:rsidRDefault="00FE19DC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6F8B8A7A" wp14:editId="2CE1480A">
            <wp:simplePos x="0" y="0"/>
            <wp:positionH relativeFrom="column">
              <wp:posOffset>166370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3244576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091FEAD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0D262CCE" w14:textId="699918F4" w:rsidR="00C30BB4" w:rsidRPr="00444C63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="00895E73" w:rsidRPr="00895E73">
        <w:t>LGD „Trzy Krajobrazy”, tj. na terenie gmin wiejskich: Cedry Wielkie, Kolbudy, Pruszcz Gdański, Pszczółki, Suchy Dąb i Trąbki Wielkie.</w:t>
      </w:r>
      <w:r w:rsidR="00895E73" w:rsidRPr="00895E73">
        <w:rPr>
          <w:highlight w:val="yellow"/>
        </w:rPr>
        <w:t xml:space="preserve"> </w:t>
      </w:r>
    </w:p>
    <w:p w14:paraId="42874F0A" w14:textId="77777777" w:rsidR="006F1417" w:rsidRDefault="006F1417" w:rsidP="008200AD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8213C2">
        <w:rPr>
          <w:b/>
        </w:rPr>
        <w:t>wyłącznie projekty</w:t>
      </w:r>
      <w:r>
        <w:t xml:space="preserve">: </w:t>
      </w:r>
    </w:p>
    <w:p w14:paraId="2E5902A5" w14:textId="157D9A73" w:rsidR="00834FF5" w:rsidRDefault="006F1417" w:rsidP="00D52DB8">
      <w:pPr>
        <w:pStyle w:val="Akapitzlist"/>
        <w:numPr>
          <w:ilvl w:val="0"/>
          <w:numId w:val="6"/>
        </w:numPr>
      </w:pPr>
      <w:r>
        <w:t>dotyczące zdeinstytucjonalizowanych form wsparcia i dopasowane do indywidualnych potrzeb osób otrzymujących wsparcie,</w:t>
      </w:r>
      <w:r w:rsidR="00D52DB8" w:rsidRPr="00D52DB8">
        <w:t xml:space="preserve"> seniorów 60 +, tj. domy dziennego pobytu seniorów.</w:t>
      </w:r>
      <w:r>
        <w:t xml:space="preserve"> </w:t>
      </w:r>
    </w:p>
    <w:p w14:paraId="03019E7F" w14:textId="64079C1D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usług społecznych, ze szczególnym uwzględnieniem </w:t>
      </w:r>
      <w:r w:rsidR="00181102">
        <w:t>wynik</w:t>
      </w:r>
      <w:r w:rsidR="00581B90">
        <w:t>ów</w:t>
      </w:r>
      <w:r w:rsidR="009A3C37">
        <w:t xml:space="preserve">, zawartej w strategii rozwoju lokalnego </w:t>
      </w:r>
      <w:r w:rsidR="009A3C37" w:rsidRPr="00E9730F">
        <w:t>dla obszaru LGD</w:t>
      </w:r>
      <w:r w:rsidR="00E9730F" w:rsidRPr="00E9730F">
        <w:t xml:space="preserve"> „Trzy Krajobrazy</w:t>
      </w:r>
      <w:r w:rsidR="001C4D84">
        <w:t>”</w:t>
      </w:r>
      <w:r w:rsidR="009A3C37">
        <w:t xml:space="preserve"> </w:t>
      </w:r>
      <w:r>
        <w:t>l</w:t>
      </w:r>
      <w:r w:rsidR="00181102">
        <w:t xml:space="preserve">okalnej diagnozy potrzeb grupy docelowej oraz deficytów w zakresie deinstytucjonalizacji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Wsparcie mające na celu otwieranie się domów pomocy społecznej (DPS) na usługi świadczone w społeczności lokalnej oraz realizację opieki wytchnieniowej w formie krótkookresowego pobytu jest możliwe pod warunkiem, że bezpośrednio wynika z planu rozwoju usług </w:t>
      </w:r>
      <w:r>
        <w:lastRenderedPageBreak/>
        <w:t>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D19A" w14:textId="77777777" w:rsidR="00AE65F4" w:rsidRDefault="00AE65F4">
      <w:r>
        <w:separator/>
      </w:r>
    </w:p>
  </w:endnote>
  <w:endnote w:type="continuationSeparator" w:id="0">
    <w:p w14:paraId="48E6B812" w14:textId="77777777" w:rsidR="00AE65F4" w:rsidRDefault="00A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294F" w14:textId="77777777" w:rsidR="00631508" w:rsidRDefault="00631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33349113"/>
  <w:bookmarkStart w:id="5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C123542" w:rsidR="00EE759B" w:rsidRPr="0061767F" w:rsidRDefault="00EE759B" w:rsidP="00631508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C123542" w:rsidR="00EE759B" w:rsidRPr="0061767F" w:rsidRDefault="00EE759B" w:rsidP="00631508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bookmarkStart w:id="9" w:name="_GoBack"/>
                      <w:bookmarkEnd w:id="9"/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150D" w14:textId="77777777" w:rsidR="00AE65F4" w:rsidRDefault="00AE65F4">
      <w:r>
        <w:separator/>
      </w:r>
    </w:p>
  </w:footnote>
  <w:footnote w:type="continuationSeparator" w:id="0">
    <w:p w14:paraId="60D971FE" w14:textId="77777777" w:rsidR="00AE65F4" w:rsidRDefault="00AE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7A00" w14:textId="77777777" w:rsidR="00631508" w:rsidRDefault="00631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17B6" w14:textId="77777777" w:rsidR="00631508" w:rsidRDefault="00631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34222">
    <w:abstractNumId w:val="0"/>
  </w:num>
  <w:num w:numId="2" w16cid:durableId="1845779059">
    <w:abstractNumId w:val="6"/>
  </w:num>
  <w:num w:numId="3" w16cid:durableId="2131588814">
    <w:abstractNumId w:val="3"/>
  </w:num>
  <w:num w:numId="4" w16cid:durableId="87848494">
    <w:abstractNumId w:val="4"/>
  </w:num>
  <w:num w:numId="5" w16cid:durableId="1560701513">
    <w:abstractNumId w:val="7"/>
  </w:num>
  <w:num w:numId="6" w16cid:durableId="23942895">
    <w:abstractNumId w:val="5"/>
  </w:num>
  <w:num w:numId="7" w16cid:durableId="1681927371">
    <w:abstractNumId w:val="1"/>
  </w:num>
  <w:num w:numId="8" w16cid:durableId="175755379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D8A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4D84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B4A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A91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508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E73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2DB8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41FA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9730F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5ED2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1BF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9D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F2AD0-44AC-49ED-93EF-5E4A0BF39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C99013B-DD7D-4850-9709-36BE5CDC0B5C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5AFB7F62-D40A-432A-9688-6C441FEAC5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CF037A-CA4D-43D7-AA87-F1802947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</TotalTime>
  <Pages>2</Pages>
  <Words>406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3181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Urszula Bastek</cp:lastModifiedBy>
  <cp:revision>4</cp:revision>
  <cp:lastPrinted>2023-09-22T13:20:00Z</cp:lastPrinted>
  <dcterms:created xsi:type="dcterms:W3CDTF">2025-11-27T12:17:00Z</dcterms:created>
  <dcterms:modified xsi:type="dcterms:W3CDTF">2026-01-21T11:33:00Z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