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7C653335" w:rsidR="00D27F08" w:rsidRDefault="00796A05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rFonts w:ascii="Calibri" w:eastAsia="Aptos" w:hAnsi="Calibri" w:cs="Calibri"/>
          <w:b/>
          <w:noProof/>
          <w:kern w:val="2"/>
          <w:lang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41FDBF" wp14:editId="2FEEF5F4">
            <wp:simplePos x="0" y="0"/>
            <wp:positionH relativeFrom="column">
              <wp:posOffset>90170</wp:posOffset>
            </wp:positionH>
            <wp:positionV relativeFrom="paragraph">
              <wp:posOffset>0</wp:posOffset>
            </wp:positionV>
            <wp:extent cx="1219200" cy="678180"/>
            <wp:effectExtent l="0" t="0" r="0" b="0"/>
            <wp:wrapTight wrapText="bothSides">
              <wp:wrapPolygon edited="0">
                <wp:start x="5063" y="3034"/>
                <wp:lineTo x="1688" y="10315"/>
                <wp:lineTo x="1688" y="10921"/>
                <wp:lineTo x="3375" y="13955"/>
                <wp:lineTo x="4725" y="16989"/>
                <wp:lineTo x="5063" y="18202"/>
                <wp:lineTo x="6750" y="18202"/>
                <wp:lineTo x="8100" y="13955"/>
                <wp:lineTo x="19575" y="13348"/>
                <wp:lineTo x="19575" y="8494"/>
                <wp:lineTo x="6750" y="3034"/>
                <wp:lineTo x="5063" y="3034"/>
              </wp:wrapPolygon>
            </wp:wrapTight>
            <wp:docPr id="150685844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652A909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15767A5B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188CD211" w:rsid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88DDA4F" w14:textId="1BCA6D58" w:rsidR="006C4BF5" w:rsidRPr="00D27F08" w:rsidRDefault="006C4BF5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557D5ECE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41FE0C30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0AE64476" w:rsidR="00C30BB4" w:rsidRDefault="00C30BB4" w:rsidP="00E45C7B"/>
    <w:p w14:paraId="0D262CCE" w14:textId="0F7EE24D" w:rsidR="00C30BB4" w:rsidRPr="00FD6DAC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>na obszarze objętym LSR</w:t>
      </w:r>
      <w:r w:rsidR="00796A05">
        <w:t xml:space="preserve"> Lokalnej Grupy Działania „Trzy Krajobrazy”</w:t>
      </w:r>
      <w:r w:rsidRPr="00ED4028">
        <w:t xml:space="preserve">, tj. na terenie </w:t>
      </w:r>
      <w:r w:rsidR="001E731E" w:rsidRPr="00717C5E">
        <w:t>gmin:</w:t>
      </w:r>
      <w:r w:rsidR="00B322CB">
        <w:t xml:space="preserve"> wiejskiej Pruszcz Gdański, Suchy Dąb, Cedry Wielkie, Pszczółki, Trąbki Wielkie, Kolbudy. </w:t>
      </w:r>
    </w:p>
    <w:p w14:paraId="38D06D40" w14:textId="58509833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03234D9D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13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lastRenderedPageBreak/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</w:t>
      </w:r>
      <w:proofErr w:type="spellStart"/>
      <w:r w:rsidR="00E71FA8">
        <w:t>t.j</w:t>
      </w:r>
      <w:proofErr w:type="spellEnd"/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</w:t>
      </w:r>
      <w:proofErr w:type="spellStart"/>
      <w:r w:rsidRPr="00526435">
        <w:t>t.j</w:t>
      </w:r>
      <w:proofErr w:type="spellEnd"/>
      <w:r w:rsidRPr="00526435">
        <w:t xml:space="preserve"> Dz.U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4D4688E0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r w:rsidR="00615DAD">
        <w:t>projektu</w:t>
      </w:r>
      <w:r w:rsidR="00B93EAC">
        <w:t xml:space="preserve">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37A62D07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tworzeni</w:t>
      </w:r>
      <w:r>
        <w:t>a</w:t>
      </w:r>
      <w:r w:rsidRPr="00CA24B0">
        <w:t xml:space="preserve"> i rozw</w:t>
      </w:r>
      <w:r>
        <w:t xml:space="preserve">oju </w:t>
      </w:r>
      <w:r w:rsidRPr="00CA24B0">
        <w:t>ośrodków pomocy i rehabilitacji dzikich zwierząt, również na terenach poza obszarami ochronnymi</w:t>
      </w:r>
      <w:r>
        <w:t xml:space="preserve"> objętymi wsparciem w ramach Działania 2.17</w:t>
      </w:r>
      <w:r w:rsidRPr="00CA24B0">
        <w:t>,</w:t>
      </w:r>
    </w:p>
    <w:p w14:paraId="7D1A2A53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Pr="00CA24B0">
        <w:t>,</w:t>
      </w:r>
      <w:r>
        <w:t xml:space="preserve"> </w:t>
      </w:r>
    </w:p>
    <w:p w14:paraId="6FD6A89D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rekultywacj</w:t>
      </w:r>
      <w:r>
        <w:t>i</w:t>
      </w:r>
      <w:r w:rsidRPr="00CA24B0">
        <w:t xml:space="preserve"> terenów zdegradowanych w wyniku składowania odpadów w miejscach na ten cel nieprzeznaczonych na terenach będących we władaniu jednostek samorządu terytorialnego lub ich związków, leżących również poza ww. obszarami chronionymi. Rekultywacja powinna prowadzić w</w:t>
      </w:r>
      <w:r>
        <w:t xml:space="preserve"> </w:t>
      </w:r>
      <w:r w:rsidRPr="00284391">
        <w:t xml:space="preserve">pierwszej kolejności do przeznaczenia terenu na cele przyrodnicze lub społeczne oraz zagospodarowania terenów zieleni miejskiej. Wsparcie może zostać udzielone w przypadkach, gdy podmiot odpowiedzialny za degradację terenu lub nielegalne składowanie odpadów </w:t>
      </w:r>
      <w:r w:rsidRPr="00284391">
        <w:lastRenderedPageBreak/>
        <w:t xml:space="preserve">nie może zostać zidentyfikowany lub nie może być odpowiedzialny za finansowanie rekultywacji zgodnie z zasadą „zanieczyszczający płaci” oraz dyrektywą 2004/35/WE w sprawie odpowiedzialności za środowisko w odniesieniu do zapobiegania i zaradzania szkodom wyrządzonym środowisku naturalnemu. </w:t>
      </w:r>
    </w:p>
    <w:p w14:paraId="190F6F9F" w14:textId="77777777" w:rsidR="006D63FD" w:rsidRDefault="006D63FD" w:rsidP="006D63FD">
      <w:pPr>
        <w:spacing w:before="240" w:after="120"/>
        <w:jc w:val="both"/>
      </w:pPr>
      <w:r>
        <w:t xml:space="preserve"> 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</w:t>
      </w:r>
      <w:proofErr w:type="spellStart"/>
      <w:r w:rsidR="008200AD">
        <w:t>MFiPR</w:t>
      </w:r>
      <w:proofErr w:type="spellEnd"/>
      <w:r w:rsidR="008200AD">
        <w:t xml:space="preserve">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442C" w14:textId="77777777" w:rsidR="003849EA" w:rsidRDefault="003849EA">
      <w:r>
        <w:separator/>
      </w:r>
    </w:p>
  </w:endnote>
  <w:endnote w:type="continuationSeparator" w:id="0">
    <w:p w14:paraId="46C9EFFF" w14:textId="77777777" w:rsidR="003849EA" w:rsidRDefault="0038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8B9F" w14:textId="77777777" w:rsidR="002B2DEF" w:rsidRDefault="002B2D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46B4B2A" w:rsidR="00EE759B" w:rsidRPr="0061767F" w:rsidRDefault="00EE759B" w:rsidP="002B2DEF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46B4B2A" w:rsidR="00EE759B" w:rsidRPr="0061767F" w:rsidRDefault="00EE759B" w:rsidP="002B2DEF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EFE9" w14:textId="77777777" w:rsidR="003849EA" w:rsidRDefault="003849EA">
      <w:r>
        <w:separator/>
      </w:r>
    </w:p>
  </w:footnote>
  <w:footnote w:type="continuationSeparator" w:id="0">
    <w:p w14:paraId="559FE27A" w14:textId="77777777" w:rsidR="003849EA" w:rsidRDefault="003849EA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B98F" w14:textId="77777777" w:rsidR="002B2DEF" w:rsidRDefault="002B2D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6A71" w14:textId="77777777" w:rsidR="002B2DEF" w:rsidRDefault="002B2D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51567">
    <w:abstractNumId w:val="0"/>
  </w:num>
  <w:num w:numId="2" w16cid:durableId="87627110">
    <w:abstractNumId w:val="14"/>
  </w:num>
  <w:num w:numId="3" w16cid:durableId="1889029794">
    <w:abstractNumId w:val="6"/>
  </w:num>
  <w:num w:numId="4" w16cid:durableId="1722172900">
    <w:abstractNumId w:val="8"/>
  </w:num>
  <w:num w:numId="5" w16cid:durableId="1303195592">
    <w:abstractNumId w:val="17"/>
  </w:num>
  <w:num w:numId="6" w16cid:durableId="431509443">
    <w:abstractNumId w:val="13"/>
  </w:num>
  <w:num w:numId="7" w16cid:durableId="1612589334">
    <w:abstractNumId w:val="2"/>
  </w:num>
  <w:num w:numId="8" w16cid:durableId="604843940">
    <w:abstractNumId w:val="4"/>
  </w:num>
  <w:num w:numId="9" w16cid:durableId="180626353">
    <w:abstractNumId w:val="12"/>
  </w:num>
  <w:num w:numId="10" w16cid:durableId="1666739875">
    <w:abstractNumId w:val="1"/>
  </w:num>
  <w:num w:numId="11" w16cid:durableId="1070007283">
    <w:abstractNumId w:val="7"/>
  </w:num>
  <w:num w:numId="12" w16cid:durableId="640961070">
    <w:abstractNumId w:val="10"/>
  </w:num>
  <w:num w:numId="13" w16cid:durableId="1105072474">
    <w:abstractNumId w:val="5"/>
  </w:num>
  <w:num w:numId="14" w16cid:durableId="3018445">
    <w:abstractNumId w:val="15"/>
  </w:num>
  <w:num w:numId="15" w16cid:durableId="67727476">
    <w:abstractNumId w:val="16"/>
  </w:num>
  <w:num w:numId="16" w16cid:durableId="1071580814">
    <w:abstractNumId w:val="11"/>
  </w:num>
  <w:num w:numId="17" w16cid:durableId="77750081">
    <w:abstractNumId w:val="3"/>
  </w:num>
  <w:num w:numId="18" w16cid:durableId="20279497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A7D51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47DFC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2DEF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49EA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2772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5DAD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C5E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5E5E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6A05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02E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22CB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2FF2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47B0C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bpr.pomorskie.pl/plan-zagospodarowania-wojewodztw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9C40C-54CE-4C49-9B1F-81D7D884973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449FD74-B78A-4ACD-82C7-1C37F2995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0864E-ED55-4313-9824-470C5B6B69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15ED2A-0E46-42F1-8C82-2B141077B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65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5875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Danuta Nolbrzak-Hejmowska</cp:lastModifiedBy>
  <cp:revision>8</cp:revision>
  <cp:lastPrinted>2023-09-22T13:20:00Z</cp:lastPrinted>
  <dcterms:created xsi:type="dcterms:W3CDTF">2025-02-17T11:19:00Z</dcterms:created>
  <dcterms:modified xsi:type="dcterms:W3CDTF">2026-07-13T08:45:00Z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