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3A5A7377" w:rsidR="00FD53E4" w:rsidRDefault="00566F6E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17BD750F" wp14:editId="1419DB4F">
            <wp:simplePos x="0" y="0"/>
            <wp:positionH relativeFrom="column">
              <wp:posOffset>181610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59758590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735F65C2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352496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E325AF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CD954C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62201591" w:rsidR="00267323" w:rsidRPr="000E0BF9" w:rsidRDefault="00A0721E" w:rsidP="00267323">
            <w:pPr>
              <w:spacing w:after="120"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E4179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50DEA" w:rsidRPr="006C38DB" w14:paraId="714E1FD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D1EA7E0" w14:textId="5A1E1EE7" w:rsidR="00150DEA" w:rsidRDefault="00150DEA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C1B2B6C" w14:textId="00C82171" w:rsidR="00150DEA" w:rsidRPr="0030011E" w:rsidRDefault="00150DEA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50DEA">
              <w:rPr>
                <w:rFonts w:ascii="Calibri" w:hAnsi="Calibri"/>
                <w:sz w:val="22"/>
                <w:szCs w:val="22"/>
              </w:rPr>
              <w:t>Plan świadczenia usług społecznych wynikających z analizy potrzeb w zakresie opieki dziennej seniorów, który planowany jest do realizacji w obiekcie zmodernizowanym/ doposażonym w ramach operacji</w:t>
            </w:r>
            <w:r w:rsidR="00CD58BF">
              <w:rPr>
                <w:rFonts w:ascii="Calibri" w:hAnsi="Calibri"/>
                <w:sz w:val="22"/>
                <w:szCs w:val="22"/>
              </w:rPr>
              <w:t xml:space="preserve"> – dokument sporządzany przez wnioskodawcę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95D8934" w14:textId="48429131" w:rsidR="00150DEA" w:rsidRDefault="00150DEA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46567DB" w14:textId="472B1BD2" w:rsidR="00150DEA" w:rsidRDefault="00150DEA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50DEA"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63EC" w14:textId="77777777" w:rsidR="007B37B2" w:rsidRDefault="007B37B2">
      <w:r>
        <w:separator/>
      </w:r>
    </w:p>
  </w:endnote>
  <w:endnote w:type="continuationSeparator" w:id="0">
    <w:p w14:paraId="4B48BDA2" w14:textId="77777777" w:rsidR="007B37B2" w:rsidRDefault="007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EF8C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F500" w14:textId="77777777" w:rsidR="007B37B2" w:rsidRDefault="007B37B2">
      <w:r>
        <w:separator/>
      </w:r>
    </w:p>
  </w:footnote>
  <w:footnote w:type="continuationSeparator" w:id="0">
    <w:p w14:paraId="5CD1DF87" w14:textId="77777777" w:rsidR="007B37B2" w:rsidRDefault="007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7986">
    <w:abstractNumId w:val="13"/>
  </w:num>
  <w:num w:numId="2" w16cid:durableId="583682023">
    <w:abstractNumId w:val="4"/>
  </w:num>
  <w:num w:numId="3" w16cid:durableId="1377270551">
    <w:abstractNumId w:val="9"/>
  </w:num>
  <w:num w:numId="4" w16cid:durableId="1539782332">
    <w:abstractNumId w:val="17"/>
  </w:num>
  <w:num w:numId="5" w16cid:durableId="743646529">
    <w:abstractNumId w:val="5"/>
  </w:num>
  <w:num w:numId="6" w16cid:durableId="1960213086">
    <w:abstractNumId w:val="22"/>
  </w:num>
  <w:num w:numId="7" w16cid:durableId="1651059533">
    <w:abstractNumId w:val="16"/>
  </w:num>
  <w:num w:numId="8" w16cid:durableId="1120301922">
    <w:abstractNumId w:val="2"/>
  </w:num>
  <w:num w:numId="9" w16cid:durableId="1735346852">
    <w:abstractNumId w:val="20"/>
  </w:num>
  <w:num w:numId="10" w16cid:durableId="1499731514">
    <w:abstractNumId w:val="3"/>
  </w:num>
  <w:num w:numId="11" w16cid:durableId="1759212665">
    <w:abstractNumId w:val="11"/>
  </w:num>
  <w:num w:numId="12" w16cid:durableId="1883858554">
    <w:abstractNumId w:val="21"/>
  </w:num>
  <w:num w:numId="13" w16cid:durableId="1265729339">
    <w:abstractNumId w:val="6"/>
  </w:num>
  <w:num w:numId="14" w16cid:durableId="960719824">
    <w:abstractNumId w:val="7"/>
  </w:num>
  <w:num w:numId="15" w16cid:durableId="126095806">
    <w:abstractNumId w:val="23"/>
  </w:num>
  <w:num w:numId="16" w16cid:durableId="338167804">
    <w:abstractNumId w:val="15"/>
  </w:num>
  <w:num w:numId="17" w16cid:durableId="1109396906">
    <w:abstractNumId w:val="0"/>
  </w:num>
  <w:num w:numId="18" w16cid:durableId="1562329532">
    <w:abstractNumId w:val="1"/>
  </w:num>
  <w:num w:numId="19" w16cid:durableId="1679884670">
    <w:abstractNumId w:val="10"/>
  </w:num>
  <w:num w:numId="20" w16cid:durableId="515462064">
    <w:abstractNumId w:val="8"/>
  </w:num>
  <w:num w:numId="21" w16cid:durableId="1112817614">
    <w:abstractNumId w:val="14"/>
  </w:num>
  <w:num w:numId="22" w16cid:durableId="1976794273">
    <w:abstractNumId w:val="12"/>
  </w:num>
  <w:num w:numId="23" w16cid:durableId="1377588627">
    <w:abstractNumId w:val="19"/>
  </w:num>
  <w:num w:numId="24" w16cid:durableId="194197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DF9F182-D8E0-4308-8C22-06692ED72B5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326A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1A9"/>
    <w:rsid w:val="000C3027"/>
    <w:rsid w:val="000C6DF2"/>
    <w:rsid w:val="000D03DA"/>
    <w:rsid w:val="000D13A5"/>
    <w:rsid w:val="000D266E"/>
    <w:rsid w:val="000D3501"/>
    <w:rsid w:val="000D7EAE"/>
    <w:rsid w:val="000E0A4A"/>
    <w:rsid w:val="000E0BF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02"/>
    <w:rsid w:val="00141A78"/>
    <w:rsid w:val="00146DC0"/>
    <w:rsid w:val="00150DEA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0B5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5BB2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767EC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2F32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4CC"/>
    <w:rsid w:val="00343A7C"/>
    <w:rsid w:val="00352496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6F6E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5FCE"/>
    <w:rsid w:val="00756A64"/>
    <w:rsid w:val="00756B74"/>
    <w:rsid w:val="00762FBA"/>
    <w:rsid w:val="007635A3"/>
    <w:rsid w:val="0077191D"/>
    <w:rsid w:val="00771F59"/>
    <w:rsid w:val="0077296F"/>
    <w:rsid w:val="00773785"/>
    <w:rsid w:val="00773D78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37B2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1C5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2C7D"/>
    <w:rsid w:val="00804873"/>
    <w:rsid w:val="00804D75"/>
    <w:rsid w:val="0080756E"/>
    <w:rsid w:val="00807E41"/>
    <w:rsid w:val="0081091B"/>
    <w:rsid w:val="00810C1D"/>
    <w:rsid w:val="00812535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1C28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18F3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0721E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14F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4E73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77105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3B7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D58BF"/>
    <w:rsid w:val="00CE5518"/>
    <w:rsid w:val="00CE7F2A"/>
    <w:rsid w:val="00CF15EB"/>
    <w:rsid w:val="00CF5F83"/>
    <w:rsid w:val="00CF63C6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1791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291B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1007B-3F22-466F-9DDA-62D7315FA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93291-2D37-4735-9E6B-273C8B35412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D784A113-E684-4140-96CA-8B60FAED4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9F182-D8E0-4308-8C22-06692ED72B5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19DBC402-18BA-4664-B941-6A273D728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3</cp:revision>
  <cp:lastPrinted>2025-01-17T11:39:00Z</cp:lastPrinted>
  <dcterms:created xsi:type="dcterms:W3CDTF">2026-06-15T06:37:00Z</dcterms:created>
  <dcterms:modified xsi:type="dcterms:W3CDTF">2026-06-15T06:40:00Z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